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1" w:rsidRDefault="00694461" w:rsidP="00B645AC">
      <w:pPr>
        <w:spacing w:line="360" w:lineRule="auto"/>
        <w:jc w:val="both"/>
        <w:rPr>
          <w:rFonts w:ascii="Arial" w:hAnsi="Arial" w:cs="Arial"/>
          <w:b/>
          <w:sz w:val="20"/>
          <w:szCs w:val="20"/>
        </w:rPr>
      </w:pPr>
      <w:r>
        <w:rPr>
          <w:rFonts w:ascii="Arial" w:hAnsi="Arial" w:cs="Arial"/>
          <w:b/>
          <w:sz w:val="20"/>
          <w:szCs w:val="20"/>
        </w:rPr>
        <w:t>ATB</w:t>
      </w:r>
      <w:r w:rsidR="00467BC0" w:rsidRPr="00467BC0">
        <w:rPr>
          <w:rFonts w:ascii="Arial" w:hAnsi="Arial" w:cs="Arial"/>
          <w:b/>
          <w:sz w:val="20"/>
          <w:szCs w:val="20"/>
        </w:rPr>
        <w:t xml:space="preserve">: </w:t>
      </w:r>
      <w:r w:rsidRPr="00694461">
        <w:rPr>
          <w:rFonts w:ascii="Arial" w:hAnsi="Arial" w:cs="Arial"/>
          <w:b/>
          <w:sz w:val="20"/>
          <w:szCs w:val="20"/>
        </w:rPr>
        <w:t xml:space="preserve">Explanation for the difference in </w:t>
      </w:r>
      <w:r>
        <w:rPr>
          <w:rFonts w:ascii="Arial" w:hAnsi="Arial" w:cs="Arial"/>
          <w:b/>
          <w:sz w:val="20"/>
          <w:szCs w:val="20"/>
        </w:rPr>
        <w:t xml:space="preserve">consolidated </w:t>
      </w:r>
      <w:r w:rsidRPr="00694461">
        <w:rPr>
          <w:rFonts w:ascii="Arial" w:hAnsi="Arial" w:cs="Arial"/>
          <w:b/>
          <w:sz w:val="20"/>
          <w:szCs w:val="20"/>
        </w:rPr>
        <w:t xml:space="preserve">financial statement of 2019 before and after </w:t>
      </w:r>
      <w:r>
        <w:rPr>
          <w:rFonts w:ascii="Arial" w:hAnsi="Arial" w:cs="Arial"/>
          <w:b/>
          <w:sz w:val="20"/>
          <w:szCs w:val="20"/>
        </w:rPr>
        <w:t xml:space="preserve">the </w:t>
      </w:r>
      <w:r w:rsidRPr="00694461">
        <w:rPr>
          <w:rFonts w:ascii="Arial" w:hAnsi="Arial" w:cs="Arial"/>
          <w:b/>
          <w:sz w:val="20"/>
          <w:szCs w:val="20"/>
        </w:rPr>
        <w:t>audit</w:t>
      </w:r>
    </w:p>
    <w:p w:rsidR="00D14DA0" w:rsidRDefault="00E36A48" w:rsidP="00B645AC">
      <w:pPr>
        <w:spacing w:line="360" w:lineRule="auto"/>
        <w:jc w:val="both"/>
        <w:rPr>
          <w:rFonts w:ascii="Arial" w:hAnsi="Arial" w:cs="Arial"/>
          <w:sz w:val="20"/>
          <w:szCs w:val="20"/>
        </w:rPr>
      </w:pPr>
      <w:r>
        <w:rPr>
          <w:rFonts w:ascii="Arial" w:hAnsi="Arial" w:cs="Arial"/>
          <w:sz w:val="20"/>
          <w:szCs w:val="20"/>
        </w:rPr>
        <w:t xml:space="preserve">On </w:t>
      </w:r>
      <w:r w:rsidR="0025770D">
        <w:rPr>
          <w:rFonts w:ascii="Arial" w:hAnsi="Arial" w:cs="Arial"/>
          <w:sz w:val="20"/>
          <w:szCs w:val="20"/>
        </w:rPr>
        <w:t>1</w:t>
      </w:r>
      <w:r w:rsidR="00694461">
        <w:rPr>
          <w:rFonts w:ascii="Arial" w:hAnsi="Arial" w:cs="Arial"/>
          <w:sz w:val="20"/>
          <w:szCs w:val="20"/>
        </w:rPr>
        <w:t>5</w:t>
      </w:r>
      <w:r w:rsidR="00073028">
        <w:rPr>
          <w:rFonts w:ascii="Arial" w:hAnsi="Arial" w:cs="Arial"/>
          <w:sz w:val="20"/>
          <w:szCs w:val="20"/>
        </w:rPr>
        <w:t xml:space="preserve"> Apr</w:t>
      </w:r>
      <w:r w:rsidR="00A62855">
        <w:rPr>
          <w:rFonts w:ascii="Arial" w:hAnsi="Arial" w:cs="Arial"/>
          <w:sz w:val="20"/>
          <w:szCs w:val="20"/>
        </w:rPr>
        <w:t xml:space="preserve"> 2020</w:t>
      </w:r>
      <w:r w:rsidR="00467BC0">
        <w:rPr>
          <w:rFonts w:ascii="Arial" w:hAnsi="Arial" w:cs="Arial"/>
          <w:sz w:val="20"/>
          <w:szCs w:val="20"/>
        </w:rPr>
        <w:t xml:space="preserve">, </w:t>
      </w:r>
      <w:r w:rsidR="00694461" w:rsidRPr="00694461">
        <w:rPr>
          <w:rFonts w:ascii="Arial" w:hAnsi="Arial" w:cs="Arial"/>
          <w:sz w:val="20"/>
          <w:szCs w:val="20"/>
        </w:rPr>
        <w:t xml:space="preserve">An </w:t>
      </w:r>
      <w:proofErr w:type="spellStart"/>
      <w:r w:rsidR="00694461" w:rsidRPr="00694461">
        <w:rPr>
          <w:rFonts w:ascii="Arial" w:hAnsi="Arial" w:cs="Arial"/>
          <w:sz w:val="20"/>
          <w:szCs w:val="20"/>
        </w:rPr>
        <w:t>Thinh</w:t>
      </w:r>
      <w:proofErr w:type="spellEnd"/>
      <w:r w:rsidR="00694461" w:rsidRPr="00694461">
        <w:rPr>
          <w:rFonts w:ascii="Arial" w:hAnsi="Arial" w:cs="Arial"/>
          <w:sz w:val="20"/>
          <w:szCs w:val="20"/>
        </w:rPr>
        <w:t xml:space="preserve"> Joint Stock Company</w:t>
      </w:r>
      <w:r w:rsidR="00694461">
        <w:rPr>
          <w:rFonts w:ascii="Arial" w:hAnsi="Arial" w:cs="Arial"/>
          <w:sz w:val="20"/>
          <w:szCs w:val="20"/>
        </w:rPr>
        <w:t xml:space="preserve"> </w:t>
      </w:r>
      <w:r w:rsidR="00026B30">
        <w:rPr>
          <w:rFonts w:ascii="Arial" w:hAnsi="Arial" w:cs="Arial"/>
          <w:sz w:val="20"/>
          <w:szCs w:val="20"/>
        </w:rPr>
        <w:t>explained</w:t>
      </w:r>
      <w:r w:rsidR="00467BC0">
        <w:rPr>
          <w:rFonts w:ascii="Arial" w:hAnsi="Arial" w:cs="Arial"/>
          <w:sz w:val="20"/>
          <w:szCs w:val="20"/>
        </w:rPr>
        <w:t xml:space="preserve"> the</w:t>
      </w:r>
      <w:r w:rsidR="00026B30" w:rsidRPr="00026B30">
        <w:rPr>
          <w:rFonts w:ascii="Arial" w:hAnsi="Arial" w:cs="Arial"/>
          <w:sz w:val="20"/>
          <w:szCs w:val="20"/>
        </w:rPr>
        <w:t xml:space="preserve"> </w:t>
      </w:r>
      <w:r w:rsidR="00FD2D19" w:rsidRPr="00FD2D19">
        <w:rPr>
          <w:rFonts w:ascii="Arial" w:hAnsi="Arial" w:cs="Arial"/>
          <w:sz w:val="20"/>
          <w:szCs w:val="20"/>
        </w:rPr>
        <w:t xml:space="preserve">difference </w:t>
      </w:r>
      <w:r w:rsidR="009C1200">
        <w:rPr>
          <w:rFonts w:ascii="Arial" w:hAnsi="Arial" w:cs="Arial"/>
          <w:sz w:val="20"/>
          <w:szCs w:val="20"/>
        </w:rPr>
        <w:t>in</w:t>
      </w:r>
      <w:r w:rsidR="00D14DA0">
        <w:rPr>
          <w:rFonts w:ascii="Arial" w:hAnsi="Arial" w:cs="Arial"/>
          <w:sz w:val="20"/>
          <w:szCs w:val="20"/>
        </w:rPr>
        <w:t xml:space="preserve"> </w:t>
      </w:r>
      <w:r w:rsidR="00694461">
        <w:rPr>
          <w:rFonts w:ascii="Arial" w:hAnsi="Arial" w:cs="Arial"/>
          <w:sz w:val="20"/>
          <w:szCs w:val="20"/>
        </w:rPr>
        <w:t>the consolidated</w:t>
      </w:r>
      <w:r w:rsidR="009C1200">
        <w:rPr>
          <w:rFonts w:ascii="Arial" w:hAnsi="Arial" w:cs="Arial"/>
          <w:sz w:val="20"/>
          <w:szCs w:val="20"/>
        </w:rPr>
        <w:t xml:space="preserve"> financial statement</w:t>
      </w:r>
      <w:r w:rsidR="00FD2D19" w:rsidRPr="00FD2D19">
        <w:rPr>
          <w:rFonts w:ascii="Arial" w:hAnsi="Arial" w:cs="Arial"/>
          <w:sz w:val="20"/>
          <w:szCs w:val="20"/>
        </w:rPr>
        <w:t xml:space="preserve"> of </w:t>
      </w:r>
      <w:r w:rsidR="00694461">
        <w:rPr>
          <w:rFonts w:ascii="Arial" w:hAnsi="Arial" w:cs="Arial"/>
          <w:sz w:val="20"/>
          <w:szCs w:val="20"/>
        </w:rPr>
        <w:t>2019</w:t>
      </w:r>
      <w:r w:rsidR="00FD2D19" w:rsidRPr="00FD2D19">
        <w:rPr>
          <w:rFonts w:ascii="Arial" w:hAnsi="Arial" w:cs="Arial"/>
          <w:sz w:val="20"/>
          <w:szCs w:val="20"/>
        </w:rPr>
        <w:t xml:space="preserve"> </w:t>
      </w:r>
      <w:r w:rsidR="00694461">
        <w:rPr>
          <w:rFonts w:ascii="Arial" w:hAnsi="Arial" w:cs="Arial"/>
          <w:sz w:val="20"/>
          <w:szCs w:val="20"/>
        </w:rPr>
        <w:t>before and after the audit</w:t>
      </w:r>
      <w:r w:rsidR="00887B6C" w:rsidRPr="00887B6C">
        <w:rPr>
          <w:rFonts w:ascii="Arial" w:hAnsi="Arial" w:cs="Arial"/>
          <w:sz w:val="20"/>
          <w:szCs w:val="20"/>
        </w:rPr>
        <w:t xml:space="preserve"> </w:t>
      </w:r>
      <w:r w:rsidR="00467BC0">
        <w:rPr>
          <w:rFonts w:ascii="Arial" w:hAnsi="Arial" w:cs="Arial"/>
          <w:sz w:val="20"/>
          <w:szCs w:val="20"/>
        </w:rPr>
        <w:t>as follows:</w:t>
      </w:r>
    </w:p>
    <w:p w:rsidR="00694461" w:rsidRDefault="00694461" w:rsidP="00B645AC">
      <w:pPr>
        <w:spacing w:line="360" w:lineRule="auto"/>
        <w:jc w:val="both"/>
        <w:rPr>
          <w:rFonts w:ascii="Arial" w:hAnsi="Arial" w:cs="Arial"/>
          <w:sz w:val="20"/>
          <w:szCs w:val="20"/>
        </w:rPr>
      </w:pPr>
      <w:r>
        <w:rPr>
          <w:rFonts w:ascii="Arial" w:hAnsi="Arial" w:cs="Arial"/>
          <w:sz w:val="20"/>
          <w:szCs w:val="20"/>
        </w:rPr>
        <w:t xml:space="preserve">During the audit of financial statement of 2019, the auditors of </w:t>
      </w:r>
      <w:proofErr w:type="spellStart"/>
      <w:r>
        <w:rPr>
          <w:rFonts w:ascii="Arial" w:hAnsi="Arial" w:cs="Arial"/>
          <w:sz w:val="20"/>
          <w:szCs w:val="20"/>
        </w:rPr>
        <w:t>Vietland</w:t>
      </w:r>
      <w:proofErr w:type="spellEnd"/>
      <w:r>
        <w:rPr>
          <w:rFonts w:ascii="Arial" w:hAnsi="Arial" w:cs="Arial"/>
          <w:sz w:val="20"/>
          <w:szCs w:val="20"/>
        </w:rPr>
        <w:t xml:space="preserve"> Auditing and Consulting Co., Ltd had adjustments leading to the difference in the figures in the consolidated financial statement of 2019 before and after the audit. The Company explains as follows:</w:t>
      </w:r>
    </w:p>
    <w:p w:rsidR="00694461" w:rsidRDefault="00694461" w:rsidP="00B645AC">
      <w:pPr>
        <w:spacing w:line="360" w:lineRule="auto"/>
        <w:jc w:val="both"/>
        <w:rPr>
          <w:rFonts w:ascii="Arial" w:hAnsi="Arial" w:cs="Arial"/>
          <w:sz w:val="20"/>
          <w:szCs w:val="20"/>
        </w:rPr>
      </w:pPr>
      <w:r>
        <w:rPr>
          <w:rFonts w:ascii="Arial" w:hAnsi="Arial" w:cs="Arial"/>
          <w:sz w:val="20"/>
          <w:szCs w:val="20"/>
        </w:rPr>
        <w:t>Balance sheet</w:t>
      </w:r>
    </w:p>
    <w:tbl>
      <w:tblPr>
        <w:tblStyle w:val="TableGrid"/>
        <w:tblW w:w="0" w:type="auto"/>
        <w:tblLook w:val="04A0" w:firstRow="1" w:lastRow="0" w:firstColumn="1" w:lastColumn="0" w:noHBand="0" w:noVBand="1"/>
      </w:tblPr>
      <w:tblGrid>
        <w:gridCol w:w="322"/>
        <w:gridCol w:w="1655"/>
        <w:gridCol w:w="778"/>
        <w:gridCol w:w="1718"/>
        <w:gridCol w:w="1617"/>
        <w:gridCol w:w="1740"/>
        <w:gridCol w:w="1746"/>
      </w:tblGrid>
      <w:tr w:rsidR="00D53E92" w:rsidTr="00D53E92">
        <w:tc>
          <w:tcPr>
            <w:tcW w:w="1977" w:type="dxa"/>
            <w:gridSpan w:val="2"/>
          </w:tcPr>
          <w:p w:rsidR="00694461" w:rsidRDefault="00694461" w:rsidP="00B645AC">
            <w:pPr>
              <w:spacing w:line="360" w:lineRule="auto"/>
              <w:jc w:val="both"/>
              <w:rPr>
                <w:rFonts w:ascii="Arial" w:hAnsi="Arial" w:cs="Arial"/>
                <w:sz w:val="20"/>
                <w:szCs w:val="20"/>
              </w:rPr>
            </w:pPr>
            <w:r>
              <w:rPr>
                <w:rFonts w:ascii="Arial" w:hAnsi="Arial" w:cs="Arial"/>
                <w:sz w:val="20"/>
                <w:szCs w:val="20"/>
              </w:rPr>
              <w:t>Indicator</w:t>
            </w:r>
          </w:p>
        </w:tc>
        <w:tc>
          <w:tcPr>
            <w:tcW w:w="778" w:type="dxa"/>
          </w:tcPr>
          <w:p w:rsidR="00694461" w:rsidRDefault="00694461" w:rsidP="00B645AC">
            <w:pPr>
              <w:spacing w:line="360" w:lineRule="auto"/>
              <w:jc w:val="both"/>
              <w:rPr>
                <w:rFonts w:ascii="Arial" w:hAnsi="Arial" w:cs="Arial"/>
                <w:sz w:val="20"/>
                <w:szCs w:val="20"/>
              </w:rPr>
            </w:pPr>
            <w:r>
              <w:rPr>
                <w:rFonts w:ascii="Arial" w:hAnsi="Arial" w:cs="Arial"/>
                <w:sz w:val="20"/>
                <w:szCs w:val="20"/>
              </w:rPr>
              <w:t>Code</w:t>
            </w:r>
          </w:p>
        </w:tc>
        <w:tc>
          <w:tcPr>
            <w:tcW w:w="1718" w:type="dxa"/>
          </w:tcPr>
          <w:p w:rsidR="00694461" w:rsidRDefault="00694461" w:rsidP="00694461">
            <w:pPr>
              <w:spacing w:line="360" w:lineRule="auto"/>
              <w:jc w:val="both"/>
              <w:rPr>
                <w:rFonts w:ascii="Arial" w:hAnsi="Arial" w:cs="Arial"/>
                <w:sz w:val="20"/>
                <w:szCs w:val="20"/>
              </w:rPr>
            </w:pPr>
            <w:r>
              <w:rPr>
                <w:rFonts w:ascii="Arial" w:hAnsi="Arial" w:cs="Arial"/>
                <w:sz w:val="20"/>
                <w:szCs w:val="20"/>
              </w:rPr>
              <w:t>Before the audit</w:t>
            </w:r>
          </w:p>
        </w:tc>
        <w:tc>
          <w:tcPr>
            <w:tcW w:w="1617" w:type="dxa"/>
          </w:tcPr>
          <w:p w:rsidR="00694461" w:rsidRDefault="00694461" w:rsidP="00694461">
            <w:pPr>
              <w:spacing w:line="360" w:lineRule="auto"/>
              <w:jc w:val="both"/>
              <w:rPr>
                <w:rFonts w:ascii="Arial" w:hAnsi="Arial" w:cs="Arial"/>
                <w:sz w:val="20"/>
                <w:szCs w:val="20"/>
              </w:rPr>
            </w:pPr>
            <w:r>
              <w:rPr>
                <w:rFonts w:ascii="Arial" w:hAnsi="Arial" w:cs="Arial"/>
                <w:sz w:val="20"/>
                <w:szCs w:val="20"/>
              </w:rPr>
              <w:t>After the audit</w:t>
            </w:r>
          </w:p>
        </w:tc>
        <w:tc>
          <w:tcPr>
            <w:tcW w:w="1740" w:type="dxa"/>
          </w:tcPr>
          <w:p w:rsidR="00694461" w:rsidRDefault="00694461" w:rsidP="00B645AC">
            <w:pPr>
              <w:spacing w:line="360" w:lineRule="auto"/>
              <w:jc w:val="both"/>
              <w:rPr>
                <w:rFonts w:ascii="Arial" w:hAnsi="Arial" w:cs="Arial"/>
                <w:sz w:val="20"/>
                <w:szCs w:val="20"/>
              </w:rPr>
            </w:pPr>
            <w:r>
              <w:rPr>
                <w:rFonts w:ascii="Arial" w:hAnsi="Arial" w:cs="Arial"/>
                <w:sz w:val="20"/>
                <w:szCs w:val="20"/>
              </w:rPr>
              <w:t>Difference</w:t>
            </w:r>
          </w:p>
        </w:tc>
        <w:tc>
          <w:tcPr>
            <w:tcW w:w="1746" w:type="dxa"/>
          </w:tcPr>
          <w:p w:rsidR="00694461" w:rsidRDefault="00694461" w:rsidP="00B645AC">
            <w:pPr>
              <w:spacing w:line="360" w:lineRule="auto"/>
              <w:jc w:val="both"/>
              <w:rPr>
                <w:rFonts w:ascii="Arial" w:hAnsi="Arial" w:cs="Arial"/>
                <w:sz w:val="20"/>
                <w:szCs w:val="20"/>
              </w:rPr>
            </w:pPr>
            <w:r>
              <w:rPr>
                <w:rFonts w:ascii="Arial" w:hAnsi="Arial" w:cs="Arial"/>
                <w:sz w:val="20"/>
                <w:szCs w:val="20"/>
              </w:rPr>
              <w:t>Reason</w:t>
            </w:r>
          </w:p>
        </w:tc>
      </w:tr>
      <w:tr w:rsidR="00D53E92" w:rsidTr="00D53E92">
        <w:tc>
          <w:tcPr>
            <w:tcW w:w="322" w:type="dxa"/>
          </w:tcPr>
          <w:p w:rsidR="00D53E92" w:rsidRPr="00694461" w:rsidRDefault="00D53E92" w:rsidP="00D53E92">
            <w:pPr>
              <w:pStyle w:val="ListParagraph"/>
              <w:numPr>
                <w:ilvl w:val="0"/>
                <w:numId w:val="1"/>
              </w:numPr>
              <w:spacing w:line="360" w:lineRule="auto"/>
              <w:ind w:left="0" w:firstLine="0"/>
              <w:rPr>
                <w:rFonts w:ascii="Arial" w:hAnsi="Arial" w:cs="Arial"/>
                <w:sz w:val="20"/>
                <w:szCs w:val="20"/>
              </w:rPr>
            </w:pPr>
          </w:p>
        </w:tc>
        <w:tc>
          <w:tcPr>
            <w:tcW w:w="1655"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Short-term loan receivables</w:t>
            </w:r>
          </w:p>
        </w:tc>
        <w:tc>
          <w:tcPr>
            <w:tcW w:w="778"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135</w:t>
            </w:r>
          </w:p>
        </w:tc>
        <w:tc>
          <w:tcPr>
            <w:tcW w:w="1718"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0</w:t>
            </w:r>
          </w:p>
        </w:tc>
        <w:tc>
          <w:tcPr>
            <w:tcW w:w="1617"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25,000,000,000</w:t>
            </w:r>
          </w:p>
        </w:tc>
        <w:tc>
          <w:tcPr>
            <w:tcW w:w="1740"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25,000,000,000</w:t>
            </w:r>
          </w:p>
        </w:tc>
        <w:tc>
          <w:tcPr>
            <w:tcW w:w="1746"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Increase due to reclassifying the short-term and long-term receivables</w:t>
            </w:r>
          </w:p>
        </w:tc>
      </w:tr>
      <w:tr w:rsidR="00D53E92" w:rsidTr="00D53E92">
        <w:tc>
          <w:tcPr>
            <w:tcW w:w="322" w:type="dxa"/>
          </w:tcPr>
          <w:p w:rsidR="00D53E92" w:rsidRPr="00694461" w:rsidRDefault="00D53E92" w:rsidP="00D53E92">
            <w:pPr>
              <w:pStyle w:val="ListParagraph"/>
              <w:numPr>
                <w:ilvl w:val="0"/>
                <w:numId w:val="1"/>
              </w:numPr>
              <w:spacing w:line="360" w:lineRule="auto"/>
              <w:ind w:left="0" w:firstLine="0"/>
              <w:rPr>
                <w:rFonts w:ascii="Arial" w:hAnsi="Arial" w:cs="Arial"/>
                <w:sz w:val="20"/>
                <w:szCs w:val="20"/>
              </w:rPr>
            </w:pPr>
          </w:p>
        </w:tc>
        <w:tc>
          <w:tcPr>
            <w:tcW w:w="1655"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Other s</w:t>
            </w:r>
            <w:r>
              <w:rPr>
                <w:rFonts w:ascii="Arial" w:hAnsi="Arial" w:cs="Arial"/>
                <w:sz w:val="20"/>
                <w:szCs w:val="20"/>
              </w:rPr>
              <w:t>hort-term receivables</w:t>
            </w:r>
          </w:p>
        </w:tc>
        <w:tc>
          <w:tcPr>
            <w:tcW w:w="778"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136</w:t>
            </w:r>
          </w:p>
        </w:tc>
        <w:tc>
          <w:tcPr>
            <w:tcW w:w="1718"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10,203,150,000</w:t>
            </w:r>
          </w:p>
        </w:tc>
        <w:tc>
          <w:tcPr>
            <w:tcW w:w="1617"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22,203,150,000</w:t>
            </w:r>
          </w:p>
        </w:tc>
        <w:tc>
          <w:tcPr>
            <w:tcW w:w="1740"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12,000,000,000</w:t>
            </w:r>
          </w:p>
        </w:tc>
        <w:tc>
          <w:tcPr>
            <w:tcW w:w="1746"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Increase due to reclassifying the short-term and long-term receivables</w:t>
            </w:r>
          </w:p>
        </w:tc>
      </w:tr>
      <w:tr w:rsidR="00D53E92" w:rsidTr="00D53E92">
        <w:tc>
          <w:tcPr>
            <w:tcW w:w="322" w:type="dxa"/>
          </w:tcPr>
          <w:p w:rsidR="00D53E92" w:rsidRPr="00694461" w:rsidRDefault="00D53E92" w:rsidP="00D53E92">
            <w:pPr>
              <w:pStyle w:val="ListParagraph"/>
              <w:numPr>
                <w:ilvl w:val="0"/>
                <w:numId w:val="1"/>
              </w:numPr>
              <w:spacing w:line="360" w:lineRule="auto"/>
              <w:ind w:left="0" w:firstLine="0"/>
              <w:rPr>
                <w:rFonts w:ascii="Arial" w:hAnsi="Arial" w:cs="Arial"/>
                <w:sz w:val="20"/>
                <w:szCs w:val="20"/>
              </w:rPr>
            </w:pPr>
          </w:p>
        </w:tc>
        <w:tc>
          <w:tcPr>
            <w:tcW w:w="1655"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Long</w:t>
            </w:r>
            <w:r>
              <w:rPr>
                <w:rFonts w:ascii="Arial" w:hAnsi="Arial" w:cs="Arial"/>
                <w:sz w:val="20"/>
                <w:szCs w:val="20"/>
              </w:rPr>
              <w:t>-term loan receivables</w:t>
            </w:r>
          </w:p>
        </w:tc>
        <w:tc>
          <w:tcPr>
            <w:tcW w:w="778"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215</w:t>
            </w:r>
          </w:p>
        </w:tc>
        <w:tc>
          <w:tcPr>
            <w:tcW w:w="1718"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25,000,000,000</w:t>
            </w:r>
          </w:p>
        </w:tc>
        <w:tc>
          <w:tcPr>
            <w:tcW w:w="1617"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0</w:t>
            </w:r>
          </w:p>
        </w:tc>
        <w:tc>
          <w:tcPr>
            <w:tcW w:w="1740"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(25,000,000,000)</w:t>
            </w:r>
          </w:p>
        </w:tc>
        <w:tc>
          <w:tcPr>
            <w:tcW w:w="1746"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De</w:t>
            </w:r>
            <w:r>
              <w:rPr>
                <w:rFonts w:ascii="Arial" w:hAnsi="Arial" w:cs="Arial"/>
                <w:sz w:val="20"/>
                <w:szCs w:val="20"/>
              </w:rPr>
              <w:t>crease due to reclassifying the short-term and long-term receivables</w:t>
            </w:r>
          </w:p>
        </w:tc>
      </w:tr>
      <w:tr w:rsidR="00D53E92" w:rsidTr="00D53E92">
        <w:tc>
          <w:tcPr>
            <w:tcW w:w="322" w:type="dxa"/>
          </w:tcPr>
          <w:p w:rsidR="00D53E92" w:rsidRPr="00694461" w:rsidRDefault="00D53E92" w:rsidP="00D53E92">
            <w:pPr>
              <w:pStyle w:val="ListParagraph"/>
              <w:numPr>
                <w:ilvl w:val="0"/>
                <w:numId w:val="1"/>
              </w:numPr>
              <w:spacing w:line="360" w:lineRule="auto"/>
              <w:ind w:left="0" w:firstLine="0"/>
              <w:rPr>
                <w:rFonts w:ascii="Arial" w:hAnsi="Arial" w:cs="Arial"/>
                <w:sz w:val="20"/>
                <w:szCs w:val="20"/>
              </w:rPr>
            </w:pPr>
          </w:p>
        </w:tc>
        <w:tc>
          <w:tcPr>
            <w:tcW w:w="1655"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 xml:space="preserve">Other </w:t>
            </w:r>
            <w:r>
              <w:rPr>
                <w:rFonts w:ascii="Arial" w:hAnsi="Arial" w:cs="Arial"/>
                <w:sz w:val="20"/>
                <w:szCs w:val="20"/>
              </w:rPr>
              <w:t>long</w:t>
            </w:r>
            <w:r>
              <w:rPr>
                <w:rFonts w:ascii="Arial" w:hAnsi="Arial" w:cs="Arial"/>
                <w:sz w:val="20"/>
                <w:szCs w:val="20"/>
              </w:rPr>
              <w:t>-term receivables</w:t>
            </w:r>
          </w:p>
        </w:tc>
        <w:tc>
          <w:tcPr>
            <w:tcW w:w="778"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216</w:t>
            </w:r>
          </w:p>
        </w:tc>
        <w:tc>
          <w:tcPr>
            <w:tcW w:w="1718"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107,666,869,973</w:t>
            </w:r>
          </w:p>
        </w:tc>
        <w:tc>
          <w:tcPr>
            <w:tcW w:w="1617"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95,666,869,973</w:t>
            </w:r>
          </w:p>
        </w:tc>
        <w:tc>
          <w:tcPr>
            <w:tcW w:w="1740"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(12,000,000,000)</w:t>
            </w:r>
          </w:p>
        </w:tc>
        <w:tc>
          <w:tcPr>
            <w:tcW w:w="1746"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Decrease due to reclassifying the short-term and long-term receivables</w:t>
            </w:r>
          </w:p>
        </w:tc>
      </w:tr>
      <w:tr w:rsidR="00D53E92" w:rsidTr="00D53E92">
        <w:tc>
          <w:tcPr>
            <w:tcW w:w="322" w:type="dxa"/>
          </w:tcPr>
          <w:p w:rsidR="00D53E92" w:rsidRPr="00694461" w:rsidRDefault="00D53E92" w:rsidP="00D53E92">
            <w:pPr>
              <w:pStyle w:val="ListParagraph"/>
              <w:numPr>
                <w:ilvl w:val="0"/>
                <w:numId w:val="1"/>
              </w:numPr>
              <w:spacing w:line="360" w:lineRule="auto"/>
              <w:ind w:left="0" w:firstLine="0"/>
              <w:rPr>
                <w:rFonts w:ascii="Arial" w:hAnsi="Arial" w:cs="Arial"/>
                <w:sz w:val="20"/>
                <w:szCs w:val="20"/>
              </w:rPr>
            </w:pPr>
          </w:p>
        </w:tc>
        <w:tc>
          <w:tcPr>
            <w:tcW w:w="1655"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Tangible fixed assets</w:t>
            </w:r>
          </w:p>
        </w:tc>
        <w:tc>
          <w:tcPr>
            <w:tcW w:w="778"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221</w:t>
            </w:r>
          </w:p>
        </w:tc>
        <w:tc>
          <w:tcPr>
            <w:tcW w:w="1718"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14,262,295,441</w:t>
            </w:r>
          </w:p>
        </w:tc>
        <w:tc>
          <w:tcPr>
            <w:tcW w:w="1617"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3,104,048,298</w:t>
            </w:r>
          </w:p>
        </w:tc>
        <w:tc>
          <w:tcPr>
            <w:tcW w:w="1740"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(11,158,247,143)</w:t>
            </w:r>
          </w:p>
        </w:tc>
        <w:tc>
          <w:tcPr>
            <w:tcW w:w="1746" w:type="dxa"/>
          </w:tcPr>
          <w:p w:rsidR="00D53E92" w:rsidRDefault="00D53E92" w:rsidP="00D53E92">
            <w:pPr>
              <w:spacing w:line="360" w:lineRule="auto"/>
              <w:jc w:val="both"/>
              <w:rPr>
                <w:rFonts w:ascii="Arial" w:hAnsi="Arial" w:cs="Arial"/>
                <w:sz w:val="20"/>
                <w:szCs w:val="20"/>
              </w:rPr>
            </w:pPr>
            <w:r>
              <w:rPr>
                <w:rFonts w:ascii="Arial" w:hAnsi="Arial" w:cs="Arial"/>
                <w:sz w:val="20"/>
                <w:szCs w:val="20"/>
              </w:rPr>
              <w:t>Decrease due to</w:t>
            </w:r>
            <w:r>
              <w:rPr>
                <w:rFonts w:ascii="Arial" w:hAnsi="Arial" w:cs="Arial"/>
                <w:sz w:val="20"/>
                <w:szCs w:val="20"/>
              </w:rPr>
              <w:t xml:space="preserve"> wrongly entering in the account of intangible fixed assets instead of tangible fixed </w:t>
            </w:r>
            <w:r>
              <w:rPr>
                <w:rFonts w:ascii="Arial" w:hAnsi="Arial" w:cs="Arial"/>
                <w:sz w:val="20"/>
                <w:szCs w:val="20"/>
              </w:rPr>
              <w:lastRenderedPageBreak/>
              <w:t xml:space="preserve">assets; more depreciation of VND 71,392,719 and decrease of VND 214,806,975,493 in liquidation of </w:t>
            </w:r>
            <w:r w:rsidR="008877C0">
              <w:rPr>
                <w:rFonts w:ascii="Arial" w:hAnsi="Arial" w:cs="Arial"/>
                <w:sz w:val="20"/>
                <w:szCs w:val="20"/>
              </w:rPr>
              <w:t>dismantling item, decrease of VND 214,806,975,493 in the liquidation expense</w:t>
            </w:r>
          </w:p>
        </w:tc>
      </w:tr>
      <w:tr w:rsidR="008877C0" w:rsidTr="00D53E92">
        <w:tc>
          <w:tcPr>
            <w:tcW w:w="322" w:type="dxa"/>
          </w:tcPr>
          <w:p w:rsidR="008877C0" w:rsidRPr="00694461" w:rsidRDefault="008877C0" w:rsidP="008877C0">
            <w:pPr>
              <w:pStyle w:val="ListParagraph"/>
              <w:numPr>
                <w:ilvl w:val="0"/>
                <w:numId w:val="1"/>
              </w:numPr>
              <w:spacing w:line="360" w:lineRule="auto"/>
              <w:ind w:left="0" w:firstLine="0"/>
              <w:rPr>
                <w:rFonts w:ascii="Arial" w:hAnsi="Arial" w:cs="Arial"/>
                <w:sz w:val="20"/>
                <w:szCs w:val="20"/>
              </w:rPr>
            </w:pPr>
          </w:p>
        </w:tc>
        <w:tc>
          <w:tcPr>
            <w:tcW w:w="1655"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Int</w:t>
            </w:r>
            <w:r>
              <w:rPr>
                <w:rFonts w:ascii="Arial" w:hAnsi="Arial" w:cs="Arial"/>
                <w:sz w:val="20"/>
                <w:szCs w:val="20"/>
              </w:rPr>
              <w:t>angible fixed assets</w:t>
            </w:r>
          </w:p>
        </w:tc>
        <w:tc>
          <w:tcPr>
            <w:tcW w:w="778"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228</w:t>
            </w:r>
          </w:p>
        </w:tc>
        <w:tc>
          <w:tcPr>
            <w:tcW w:w="1718"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0</w:t>
            </w:r>
          </w:p>
        </w:tc>
        <w:tc>
          <w:tcPr>
            <w:tcW w:w="1617"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10,338,380</w:t>
            </w:r>
            <w:bookmarkStart w:id="0" w:name="_GoBack"/>
            <w:bookmarkEnd w:id="0"/>
            <w:r>
              <w:rPr>
                <w:rFonts w:ascii="Arial" w:hAnsi="Arial" w:cs="Arial"/>
                <w:sz w:val="20"/>
                <w:szCs w:val="20"/>
              </w:rPr>
              <w:t>,593</w:t>
            </w:r>
          </w:p>
        </w:tc>
        <w:tc>
          <w:tcPr>
            <w:tcW w:w="1740"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10,338,380,593</w:t>
            </w:r>
          </w:p>
        </w:tc>
        <w:tc>
          <w:tcPr>
            <w:tcW w:w="1746"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Decrease due to wrongly entering in the account of intangible fixed assets instead of tangible fixed assets</w:t>
            </w:r>
          </w:p>
        </w:tc>
      </w:tr>
      <w:tr w:rsidR="008877C0" w:rsidTr="00D53E92">
        <w:tc>
          <w:tcPr>
            <w:tcW w:w="322" w:type="dxa"/>
          </w:tcPr>
          <w:p w:rsidR="008877C0" w:rsidRPr="00694461" w:rsidRDefault="008877C0" w:rsidP="008877C0">
            <w:pPr>
              <w:pStyle w:val="ListParagraph"/>
              <w:numPr>
                <w:ilvl w:val="0"/>
                <w:numId w:val="1"/>
              </w:numPr>
              <w:spacing w:line="360" w:lineRule="auto"/>
              <w:ind w:left="0" w:firstLine="0"/>
              <w:rPr>
                <w:rFonts w:ascii="Arial" w:hAnsi="Arial" w:cs="Arial"/>
                <w:sz w:val="20"/>
                <w:szCs w:val="20"/>
              </w:rPr>
            </w:pPr>
          </w:p>
        </w:tc>
        <w:tc>
          <w:tcPr>
            <w:tcW w:w="1655"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 xml:space="preserve">Retained after-tax profit </w:t>
            </w:r>
          </w:p>
        </w:tc>
        <w:tc>
          <w:tcPr>
            <w:tcW w:w="778"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421</w:t>
            </w:r>
          </w:p>
        </w:tc>
        <w:tc>
          <w:tcPr>
            <w:tcW w:w="1718"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9,618,252,401</w:t>
            </w:r>
          </w:p>
        </w:tc>
        <w:tc>
          <w:tcPr>
            <w:tcW w:w="1617"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8,798,385,851</w:t>
            </w:r>
          </w:p>
        </w:tc>
        <w:tc>
          <w:tcPr>
            <w:tcW w:w="1740"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(819,866,550)</w:t>
            </w:r>
          </w:p>
        </w:tc>
        <w:tc>
          <w:tcPr>
            <w:tcW w:w="1746"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 xml:space="preserve">Decrease due to more depreciation of some fixed assets and </w:t>
            </w:r>
            <w:r>
              <w:rPr>
                <w:rFonts w:ascii="Arial" w:hAnsi="Arial" w:cs="Arial"/>
                <w:sz w:val="20"/>
                <w:szCs w:val="20"/>
              </w:rPr>
              <w:t>the liquidation expense</w:t>
            </w:r>
            <w:r>
              <w:rPr>
                <w:rFonts w:ascii="Arial" w:hAnsi="Arial" w:cs="Arial"/>
                <w:sz w:val="20"/>
                <w:szCs w:val="20"/>
              </w:rPr>
              <w:t xml:space="preserve"> of dismantling item</w:t>
            </w:r>
          </w:p>
        </w:tc>
      </w:tr>
    </w:tbl>
    <w:p w:rsidR="00694461" w:rsidRDefault="00694461" w:rsidP="00B645AC">
      <w:pPr>
        <w:spacing w:line="360" w:lineRule="auto"/>
        <w:jc w:val="both"/>
        <w:rPr>
          <w:rFonts w:ascii="Arial" w:hAnsi="Arial" w:cs="Arial"/>
          <w:sz w:val="20"/>
          <w:szCs w:val="20"/>
        </w:rPr>
      </w:pPr>
    </w:p>
    <w:p w:rsidR="00694461" w:rsidRDefault="008877C0" w:rsidP="00B645AC">
      <w:pPr>
        <w:spacing w:line="360" w:lineRule="auto"/>
        <w:jc w:val="both"/>
        <w:rPr>
          <w:rFonts w:ascii="Arial" w:hAnsi="Arial" w:cs="Arial"/>
          <w:sz w:val="20"/>
          <w:szCs w:val="20"/>
        </w:rPr>
      </w:pPr>
      <w:r>
        <w:rPr>
          <w:rFonts w:ascii="Arial" w:hAnsi="Arial" w:cs="Arial"/>
          <w:sz w:val="20"/>
          <w:szCs w:val="20"/>
        </w:rPr>
        <w:t>Income statement</w:t>
      </w:r>
    </w:p>
    <w:tbl>
      <w:tblPr>
        <w:tblStyle w:val="TableGrid"/>
        <w:tblW w:w="0" w:type="auto"/>
        <w:tblLook w:val="04A0" w:firstRow="1" w:lastRow="0" w:firstColumn="1" w:lastColumn="0" w:noHBand="0" w:noVBand="1"/>
      </w:tblPr>
      <w:tblGrid>
        <w:gridCol w:w="322"/>
        <w:gridCol w:w="1653"/>
        <w:gridCol w:w="777"/>
        <w:gridCol w:w="1717"/>
        <w:gridCol w:w="1629"/>
        <w:gridCol w:w="1390"/>
        <w:gridCol w:w="2088"/>
      </w:tblGrid>
      <w:tr w:rsidR="008877C0" w:rsidTr="001A5220">
        <w:tc>
          <w:tcPr>
            <w:tcW w:w="1975" w:type="dxa"/>
            <w:gridSpan w:val="2"/>
          </w:tcPr>
          <w:p w:rsidR="008877C0" w:rsidRDefault="008877C0" w:rsidP="009E5CB1">
            <w:pPr>
              <w:spacing w:line="360" w:lineRule="auto"/>
              <w:jc w:val="both"/>
              <w:rPr>
                <w:rFonts w:ascii="Arial" w:hAnsi="Arial" w:cs="Arial"/>
                <w:sz w:val="20"/>
                <w:szCs w:val="20"/>
              </w:rPr>
            </w:pPr>
            <w:r>
              <w:rPr>
                <w:rFonts w:ascii="Arial" w:hAnsi="Arial" w:cs="Arial"/>
                <w:sz w:val="20"/>
                <w:szCs w:val="20"/>
              </w:rPr>
              <w:t>Indicator</w:t>
            </w:r>
          </w:p>
        </w:tc>
        <w:tc>
          <w:tcPr>
            <w:tcW w:w="777" w:type="dxa"/>
          </w:tcPr>
          <w:p w:rsidR="008877C0" w:rsidRDefault="008877C0" w:rsidP="009E5CB1">
            <w:pPr>
              <w:spacing w:line="360" w:lineRule="auto"/>
              <w:jc w:val="both"/>
              <w:rPr>
                <w:rFonts w:ascii="Arial" w:hAnsi="Arial" w:cs="Arial"/>
                <w:sz w:val="20"/>
                <w:szCs w:val="20"/>
              </w:rPr>
            </w:pPr>
            <w:r>
              <w:rPr>
                <w:rFonts w:ascii="Arial" w:hAnsi="Arial" w:cs="Arial"/>
                <w:sz w:val="20"/>
                <w:szCs w:val="20"/>
              </w:rPr>
              <w:t>Code</w:t>
            </w:r>
          </w:p>
        </w:tc>
        <w:tc>
          <w:tcPr>
            <w:tcW w:w="1717" w:type="dxa"/>
          </w:tcPr>
          <w:p w:rsidR="008877C0" w:rsidRDefault="008877C0" w:rsidP="009E5CB1">
            <w:pPr>
              <w:spacing w:line="360" w:lineRule="auto"/>
              <w:jc w:val="both"/>
              <w:rPr>
                <w:rFonts w:ascii="Arial" w:hAnsi="Arial" w:cs="Arial"/>
                <w:sz w:val="20"/>
                <w:szCs w:val="20"/>
              </w:rPr>
            </w:pPr>
            <w:r>
              <w:rPr>
                <w:rFonts w:ascii="Arial" w:hAnsi="Arial" w:cs="Arial"/>
                <w:sz w:val="20"/>
                <w:szCs w:val="20"/>
              </w:rPr>
              <w:t>Before the audit</w:t>
            </w:r>
          </w:p>
        </w:tc>
        <w:tc>
          <w:tcPr>
            <w:tcW w:w="1629" w:type="dxa"/>
          </w:tcPr>
          <w:p w:rsidR="008877C0" w:rsidRDefault="008877C0" w:rsidP="009E5CB1">
            <w:pPr>
              <w:spacing w:line="360" w:lineRule="auto"/>
              <w:jc w:val="both"/>
              <w:rPr>
                <w:rFonts w:ascii="Arial" w:hAnsi="Arial" w:cs="Arial"/>
                <w:sz w:val="20"/>
                <w:szCs w:val="20"/>
              </w:rPr>
            </w:pPr>
            <w:r>
              <w:rPr>
                <w:rFonts w:ascii="Arial" w:hAnsi="Arial" w:cs="Arial"/>
                <w:sz w:val="20"/>
                <w:szCs w:val="20"/>
              </w:rPr>
              <w:t>After the audit</w:t>
            </w:r>
          </w:p>
        </w:tc>
        <w:tc>
          <w:tcPr>
            <w:tcW w:w="1390" w:type="dxa"/>
          </w:tcPr>
          <w:p w:rsidR="008877C0" w:rsidRDefault="008877C0" w:rsidP="009E5CB1">
            <w:pPr>
              <w:spacing w:line="360" w:lineRule="auto"/>
              <w:jc w:val="both"/>
              <w:rPr>
                <w:rFonts w:ascii="Arial" w:hAnsi="Arial" w:cs="Arial"/>
                <w:sz w:val="20"/>
                <w:szCs w:val="20"/>
              </w:rPr>
            </w:pPr>
            <w:r>
              <w:rPr>
                <w:rFonts w:ascii="Arial" w:hAnsi="Arial" w:cs="Arial"/>
                <w:sz w:val="20"/>
                <w:szCs w:val="20"/>
              </w:rPr>
              <w:t>Difference</w:t>
            </w:r>
          </w:p>
        </w:tc>
        <w:tc>
          <w:tcPr>
            <w:tcW w:w="2088" w:type="dxa"/>
          </w:tcPr>
          <w:p w:rsidR="008877C0" w:rsidRDefault="008877C0" w:rsidP="009E5CB1">
            <w:pPr>
              <w:spacing w:line="360" w:lineRule="auto"/>
              <w:jc w:val="both"/>
              <w:rPr>
                <w:rFonts w:ascii="Arial" w:hAnsi="Arial" w:cs="Arial"/>
                <w:sz w:val="20"/>
                <w:szCs w:val="20"/>
              </w:rPr>
            </w:pPr>
            <w:r>
              <w:rPr>
                <w:rFonts w:ascii="Arial" w:hAnsi="Arial" w:cs="Arial"/>
                <w:sz w:val="20"/>
                <w:szCs w:val="20"/>
              </w:rPr>
              <w:t>Reason</w:t>
            </w:r>
          </w:p>
        </w:tc>
      </w:tr>
      <w:tr w:rsidR="001A5220" w:rsidTr="001A5220">
        <w:tc>
          <w:tcPr>
            <w:tcW w:w="322" w:type="dxa"/>
          </w:tcPr>
          <w:p w:rsidR="008877C0" w:rsidRPr="008877C0" w:rsidRDefault="008877C0" w:rsidP="008877C0">
            <w:pPr>
              <w:pStyle w:val="ListParagraph"/>
              <w:numPr>
                <w:ilvl w:val="0"/>
                <w:numId w:val="2"/>
              </w:numPr>
              <w:spacing w:line="360" w:lineRule="auto"/>
              <w:ind w:left="0" w:firstLine="0"/>
              <w:rPr>
                <w:rFonts w:ascii="Arial" w:hAnsi="Arial" w:cs="Arial"/>
                <w:sz w:val="20"/>
                <w:szCs w:val="20"/>
              </w:rPr>
            </w:pPr>
          </w:p>
        </w:tc>
        <w:tc>
          <w:tcPr>
            <w:tcW w:w="1653" w:type="dxa"/>
          </w:tcPr>
          <w:p w:rsidR="008877C0" w:rsidRDefault="008877C0" w:rsidP="009E5CB1">
            <w:pPr>
              <w:spacing w:line="360" w:lineRule="auto"/>
              <w:jc w:val="both"/>
              <w:rPr>
                <w:rFonts w:ascii="Arial" w:hAnsi="Arial" w:cs="Arial"/>
                <w:sz w:val="20"/>
                <w:szCs w:val="20"/>
              </w:rPr>
            </w:pPr>
            <w:r>
              <w:rPr>
                <w:rFonts w:ascii="Arial" w:hAnsi="Arial" w:cs="Arial"/>
                <w:sz w:val="20"/>
                <w:szCs w:val="20"/>
              </w:rPr>
              <w:t>General administrative expense</w:t>
            </w:r>
          </w:p>
        </w:tc>
        <w:tc>
          <w:tcPr>
            <w:tcW w:w="777" w:type="dxa"/>
          </w:tcPr>
          <w:p w:rsidR="008877C0" w:rsidRDefault="008877C0" w:rsidP="009E5CB1">
            <w:pPr>
              <w:spacing w:line="360" w:lineRule="auto"/>
              <w:jc w:val="both"/>
              <w:rPr>
                <w:rFonts w:ascii="Arial" w:hAnsi="Arial" w:cs="Arial"/>
                <w:sz w:val="20"/>
                <w:szCs w:val="20"/>
              </w:rPr>
            </w:pPr>
            <w:r>
              <w:rPr>
                <w:rFonts w:ascii="Arial" w:hAnsi="Arial" w:cs="Arial"/>
                <w:sz w:val="20"/>
                <w:szCs w:val="20"/>
              </w:rPr>
              <w:t>26</w:t>
            </w:r>
          </w:p>
        </w:tc>
        <w:tc>
          <w:tcPr>
            <w:tcW w:w="1717" w:type="dxa"/>
          </w:tcPr>
          <w:p w:rsidR="008877C0" w:rsidRDefault="008877C0" w:rsidP="009E5CB1">
            <w:pPr>
              <w:spacing w:line="360" w:lineRule="auto"/>
              <w:jc w:val="both"/>
              <w:rPr>
                <w:rFonts w:ascii="Arial" w:hAnsi="Arial" w:cs="Arial"/>
                <w:sz w:val="20"/>
                <w:szCs w:val="20"/>
              </w:rPr>
            </w:pPr>
            <w:r>
              <w:rPr>
                <w:rFonts w:ascii="Arial" w:hAnsi="Arial" w:cs="Arial"/>
                <w:sz w:val="20"/>
                <w:szCs w:val="20"/>
              </w:rPr>
              <w:t>1,453,025,470</w:t>
            </w:r>
          </w:p>
        </w:tc>
        <w:tc>
          <w:tcPr>
            <w:tcW w:w="1629" w:type="dxa"/>
          </w:tcPr>
          <w:p w:rsidR="008877C0" w:rsidRDefault="008877C0" w:rsidP="009E5CB1">
            <w:pPr>
              <w:spacing w:line="360" w:lineRule="auto"/>
              <w:jc w:val="both"/>
              <w:rPr>
                <w:rFonts w:ascii="Arial" w:hAnsi="Arial" w:cs="Arial"/>
                <w:sz w:val="20"/>
                <w:szCs w:val="20"/>
              </w:rPr>
            </w:pPr>
            <w:r>
              <w:rPr>
                <w:rFonts w:ascii="Arial" w:hAnsi="Arial" w:cs="Arial"/>
                <w:sz w:val="20"/>
                <w:szCs w:val="20"/>
              </w:rPr>
              <w:t>1,524,418,188</w:t>
            </w:r>
          </w:p>
        </w:tc>
        <w:tc>
          <w:tcPr>
            <w:tcW w:w="1390" w:type="dxa"/>
          </w:tcPr>
          <w:p w:rsidR="008877C0" w:rsidRDefault="008877C0" w:rsidP="009E5CB1">
            <w:pPr>
              <w:spacing w:line="360" w:lineRule="auto"/>
              <w:jc w:val="both"/>
              <w:rPr>
                <w:rFonts w:ascii="Arial" w:hAnsi="Arial" w:cs="Arial"/>
                <w:sz w:val="20"/>
                <w:szCs w:val="20"/>
              </w:rPr>
            </w:pPr>
            <w:r>
              <w:rPr>
                <w:rFonts w:ascii="Arial" w:hAnsi="Arial" w:cs="Arial"/>
                <w:sz w:val="20"/>
                <w:szCs w:val="20"/>
              </w:rPr>
              <w:t>71,392,719</w:t>
            </w:r>
          </w:p>
        </w:tc>
        <w:tc>
          <w:tcPr>
            <w:tcW w:w="2088" w:type="dxa"/>
          </w:tcPr>
          <w:p w:rsidR="008877C0" w:rsidRDefault="008877C0" w:rsidP="008877C0">
            <w:pPr>
              <w:spacing w:line="360" w:lineRule="auto"/>
              <w:jc w:val="both"/>
              <w:rPr>
                <w:rFonts w:ascii="Arial" w:hAnsi="Arial" w:cs="Arial"/>
                <w:sz w:val="20"/>
                <w:szCs w:val="20"/>
              </w:rPr>
            </w:pPr>
            <w:r>
              <w:rPr>
                <w:rFonts w:ascii="Arial" w:hAnsi="Arial" w:cs="Arial"/>
                <w:sz w:val="20"/>
                <w:szCs w:val="20"/>
              </w:rPr>
              <w:t>Increase due to more depreciation of some fixed assets which were depreciated against regulations</w:t>
            </w:r>
          </w:p>
        </w:tc>
      </w:tr>
      <w:tr w:rsidR="001A5220" w:rsidTr="001A5220">
        <w:tc>
          <w:tcPr>
            <w:tcW w:w="322" w:type="dxa"/>
          </w:tcPr>
          <w:p w:rsidR="001A5220" w:rsidRPr="008877C0" w:rsidRDefault="001A5220" w:rsidP="001A5220">
            <w:pPr>
              <w:pStyle w:val="ListParagraph"/>
              <w:numPr>
                <w:ilvl w:val="0"/>
                <w:numId w:val="2"/>
              </w:numPr>
              <w:spacing w:line="360" w:lineRule="auto"/>
              <w:ind w:left="0" w:firstLine="0"/>
              <w:rPr>
                <w:rFonts w:ascii="Arial" w:hAnsi="Arial" w:cs="Arial"/>
                <w:sz w:val="20"/>
                <w:szCs w:val="20"/>
              </w:rPr>
            </w:pPr>
          </w:p>
        </w:tc>
        <w:tc>
          <w:tcPr>
            <w:tcW w:w="1653"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 xml:space="preserve">Net operation profit </w:t>
            </w:r>
          </w:p>
        </w:tc>
        <w:tc>
          <w:tcPr>
            <w:tcW w:w="777"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27</w:t>
            </w:r>
          </w:p>
        </w:tc>
        <w:tc>
          <w:tcPr>
            <w:tcW w:w="1717"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(3,032,534,849)</w:t>
            </w:r>
          </w:p>
        </w:tc>
        <w:tc>
          <w:tcPr>
            <w:tcW w:w="1629"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(3,103,927,567)</w:t>
            </w:r>
          </w:p>
        </w:tc>
        <w:tc>
          <w:tcPr>
            <w:tcW w:w="1390"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71,392,719</w:t>
            </w:r>
          </w:p>
        </w:tc>
        <w:tc>
          <w:tcPr>
            <w:tcW w:w="2088"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Increase due to more depreciation of some fixed assets which were depreciated against regulations</w:t>
            </w:r>
          </w:p>
        </w:tc>
      </w:tr>
      <w:tr w:rsidR="001A5220" w:rsidTr="001A5220">
        <w:tc>
          <w:tcPr>
            <w:tcW w:w="322" w:type="dxa"/>
          </w:tcPr>
          <w:p w:rsidR="001A5220" w:rsidRPr="008877C0" w:rsidRDefault="001A5220" w:rsidP="001A5220">
            <w:pPr>
              <w:pStyle w:val="ListParagraph"/>
              <w:numPr>
                <w:ilvl w:val="0"/>
                <w:numId w:val="2"/>
              </w:numPr>
              <w:spacing w:line="360" w:lineRule="auto"/>
              <w:ind w:left="0" w:firstLine="0"/>
              <w:rPr>
                <w:rFonts w:ascii="Arial" w:hAnsi="Arial" w:cs="Arial"/>
                <w:sz w:val="20"/>
                <w:szCs w:val="20"/>
              </w:rPr>
            </w:pPr>
          </w:p>
        </w:tc>
        <w:tc>
          <w:tcPr>
            <w:tcW w:w="1653"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Other expense</w:t>
            </w:r>
          </w:p>
        </w:tc>
        <w:tc>
          <w:tcPr>
            <w:tcW w:w="777"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32</w:t>
            </w:r>
          </w:p>
        </w:tc>
        <w:tc>
          <w:tcPr>
            <w:tcW w:w="1717"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240,553,940</w:t>
            </w:r>
          </w:p>
        </w:tc>
        <w:tc>
          <w:tcPr>
            <w:tcW w:w="1629"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989,027,772</w:t>
            </w:r>
          </w:p>
        </w:tc>
        <w:tc>
          <w:tcPr>
            <w:tcW w:w="1390"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748,473,832</w:t>
            </w:r>
          </w:p>
        </w:tc>
        <w:tc>
          <w:tcPr>
            <w:tcW w:w="2088"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Increase in the liquidation expense: VND 748,473,833</w:t>
            </w:r>
          </w:p>
        </w:tc>
      </w:tr>
      <w:tr w:rsidR="001A5220" w:rsidTr="001A5220">
        <w:tc>
          <w:tcPr>
            <w:tcW w:w="322" w:type="dxa"/>
          </w:tcPr>
          <w:p w:rsidR="001A5220" w:rsidRPr="008877C0" w:rsidRDefault="001A5220" w:rsidP="001A5220">
            <w:pPr>
              <w:pStyle w:val="ListParagraph"/>
              <w:numPr>
                <w:ilvl w:val="0"/>
                <w:numId w:val="2"/>
              </w:numPr>
              <w:spacing w:line="360" w:lineRule="auto"/>
              <w:ind w:left="0" w:firstLine="0"/>
              <w:rPr>
                <w:rFonts w:ascii="Arial" w:hAnsi="Arial" w:cs="Arial"/>
                <w:sz w:val="20"/>
                <w:szCs w:val="20"/>
              </w:rPr>
            </w:pPr>
          </w:p>
        </w:tc>
        <w:tc>
          <w:tcPr>
            <w:tcW w:w="1653"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 xml:space="preserve">Profit before tax </w:t>
            </w:r>
          </w:p>
        </w:tc>
        <w:tc>
          <w:tcPr>
            <w:tcW w:w="777"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50</w:t>
            </w:r>
          </w:p>
        </w:tc>
        <w:tc>
          <w:tcPr>
            <w:tcW w:w="1717"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(3,273,088,789)</w:t>
            </w:r>
          </w:p>
        </w:tc>
        <w:tc>
          <w:tcPr>
            <w:tcW w:w="1629"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(4,092,955,339)</w:t>
            </w:r>
          </w:p>
        </w:tc>
        <w:tc>
          <w:tcPr>
            <w:tcW w:w="1390"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819,866,550</w:t>
            </w:r>
          </w:p>
        </w:tc>
        <w:tc>
          <w:tcPr>
            <w:tcW w:w="2088" w:type="dxa"/>
          </w:tcPr>
          <w:p w:rsidR="001A5220" w:rsidRDefault="001A5220" w:rsidP="001A5220">
            <w:pPr>
              <w:spacing w:line="360" w:lineRule="auto"/>
              <w:jc w:val="both"/>
              <w:rPr>
                <w:rFonts w:ascii="Arial" w:hAnsi="Arial" w:cs="Arial"/>
                <w:sz w:val="20"/>
                <w:szCs w:val="20"/>
              </w:rPr>
            </w:pPr>
            <w:r>
              <w:rPr>
                <w:rFonts w:ascii="Arial" w:hAnsi="Arial" w:cs="Arial"/>
                <w:sz w:val="20"/>
                <w:szCs w:val="20"/>
              </w:rPr>
              <w:t>Increase in the liquidation expense: VND 748,473,833</w:t>
            </w:r>
            <w:r>
              <w:rPr>
                <w:rFonts w:ascii="Arial" w:hAnsi="Arial" w:cs="Arial"/>
                <w:sz w:val="20"/>
                <w:szCs w:val="20"/>
              </w:rPr>
              <w:t xml:space="preserve"> + more depreciation of </w:t>
            </w:r>
            <w:r>
              <w:rPr>
                <w:rFonts w:ascii="Arial" w:hAnsi="Arial" w:cs="Arial"/>
                <w:sz w:val="20"/>
                <w:szCs w:val="20"/>
              </w:rPr>
              <w:t>some fixed assets depreciated against regulations</w:t>
            </w:r>
            <w:r>
              <w:rPr>
                <w:rFonts w:ascii="Arial" w:hAnsi="Arial" w:cs="Arial"/>
                <w:sz w:val="20"/>
                <w:szCs w:val="20"/>
              </w:rPr>
              <w:t>: VND 71,392,719</w:t>
            </w:r>
          </w:p>
        </w:tc>
      </w:tr>
    </w:tbl>
    <w:p w:rsidR="008877C0" w:rsidRDefault="008877C0" w:rsidP="00B645AC">
      <w:pPr>
        <w:spacing w:line="360" w:lineRule="auto"/>
        <w:jc w:val="both"/>
        <w:rPr>
          <w:rFonts w:ascii="Arial" w:hAnsi="Arial" w:cs="Arial"/>
          <w:sz w:val="20"/>
          <w:szCs w:val="20"/>
        </w:rPr>
      </w:pPr>
    </w:p>
    <w:sectPr w:rsidR="0088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37CA6"/>
    <w:multiLevelType w:val="hybridMultilevel"/>
    <w:tmpl w:val="84AAD24E"/>
    <w:lvl w:ilvl="0" w:tplc="22DE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44DFC"/>
    <w:multiLevelType w:val="hybridMultilevel"/>
    <w:tmpl w:val="EE2C9A62"/>
    <w:lvl w:ilvl="0" w:tplc="22DE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34DA"/>
    <w:rsid w:val="0002327A"/>
    <w:rsid w:val="00026B30"/>
    <w:rsid w:val="00041B1A"/>
    <w:rsid w:val="00073028"/>
    <w:rsid w:val="000A79D8"/>
    <w:rsid w:val="000B0FD0"/>
    <w:rsid w:val="000B33BC"/>
    <w:rsid w:val="000E15ED"/>
    <w:rsid w:val="000E5BBD"/>
    <w:rsid w:val="0010357F"/>
    <w:rsid w:val="0012502D"/>
    <w:rsid w:val="00125C9D"/>
    <w:rsid w:val="001654BA"/>
    <w:rsid w:val="001A017D"/>
    <w:rsid w:val="001A5220"/>
    <w:rsid w:val="001B2DAC"/>
    <w:rsid w:val="00204DDC"/>
    <w:rsid w:val="00217C3D"/>
    <w:rsid w:val="0024099C"/>
    <w:rsid w:val="00244C92"/>
    <w:rsid w:val="00256DF0"/>
    <w:rsid w:val="0025770D"/>
    <w:rsid w:val="0026711C"/>
    <w:rsid w:val="00293FEB"/>
    <w:rsid w:val="00297425"/>
    <w:rsid w:val="002B59F4"/>
    <w:rsid w:val="002E1D14"/>
    <w:rsid w:val="00303E63"/>
    <w:rsid w:val="00330005"/>
    <w:rsid w:val="00346788"/>
    <w:rsid w:val="003A771E"/>
    <w:rsid w:val="003B2570"/>
    <w:rsid w:val="00467BC0"/>
    <w:rsid w:val="004954D8"/>
    <w:rsid w:val="00496733"/>
    <w:rsid w:val="004A7E66"/>
    <w:rsid w:val="004B0E3B"/>
    <w:rsid w:val="004C7900"/>
    <w:rsid w:val="0058021C"/>
    <w:rsid w:val="005B0276"/>
    <w:rsid w:val="005E7D00"/>
    <w:rsid w:val="00675C63"/>
    <w:rsid w:val="00694461"/>
    <w:rsid w:val="00695103"/>
    <w:rsid w:val="006E13A2"/>
    <w:rsid w:val="006E3B6D"/>
    <w:rsid w:val="00701F46"/>
    <w:rsid w:val="007028B7"/>
    <w:rsid w:val="0072584C"/>
    <w:rsid w:val="00740A0C"/>
    <w:rsid w:val="00745D9A"/>
    <w:rsid w:val="00761E26"/>
    <w:rsid w:val="00795EA8"/>
    <w:rsid w:val="007D449B"/>
    <w:rsid w:val="007F7DB7"/>
    <w:rsid w:val="008078B6"/>
    <w:rsid w:val="0084703C"/>
    <w:rsid w:val="0088081B"/>
    <w:rsid w:val="008854CF"/>
    <w:rsid w:val="008877C0"/>
    <w:rsid w:val="00887B6C"/>
    <w:rsid w:val="00887C3A"/>
    <w:rsid w:val="008B17BB"/>
    <w:rsid w:val="008D5C54"/>
    <w:rsid w:val="00981C95"/>
    <w:rsid w:val="009C1200"/>
    <w:rsid w:val="00A62855"/>
    <w:rsid w:val="00A81EB3"/>
    <w:rsid w:val="00AA01BA"/>
    <w:rsid w:val="00AF67BE"/>
    <w:rsid w:val="00B22DA5"/>
    <w:rsid w:val="00B40E78"/>
    <w:rsid w:val="00B645AC"/>
    <w:rsid w:val="00B82455"/>
    <w:rsid w:val="00BA721C"/>
    <w:rsid w:val="00BC16A6"/>
    <w:rsid w:val="00C324E9"/>
    <w:rsid w:val="00C72FFB"/>
    <w:rsid w:val="00CA41E5"/>
    <w:rsid w:val="00CA6F06"/>
    <w:rsid w:val="00CC15D8"/>
    <w:rsid w:val="00CD493C"/>
    <w:rsid w:val="00D14DA0"/>
    <w:rsid w:val="00D53E92"/>
    <w:rsid w:val="00E11EBD"/>
    <w:rsid w:val="00E154B3"/>
    <w:rsid w:val="00E36A48"/>
    <w:rsid w:val="00E46F08"/>
    <w:rsid w:val="00EA6E4A"/>
    <w:rsid w:val="00ED31AF"/>
    <w:rsid w:val="00EF7457"/>
    <w:rsid w:val="00F02E19"/>
    <w:rsid w:val="00F163FC"/>
    <w:rsid w:val="00F655B9"/>
    <w:rsid w:val="00F85153"/>
    <w:rsid w:val="00F9058F"/>
    <w:rsid w:val="00FD2D19"/>
    <w:rsid w:val="00FD731F"/>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8E3E"/>
  <w15:docId w15:val="{3B344AA8-8090-498C-BC3C-E336F124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E3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99</cp:revision>
  <dcterms:created xsi:type="dcterms:W3CDTF">2019-10-16T10:03:00Z</dcterms:created>
  <dcterms:modified xsi:type="dcterms:W3CDTF">2020-04-21T09:06:00Z</dcterms:modified>
</cp:coreProperties>
</file>